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AB070" w14:textId="2AE18AAF" w:rsidR="00C809FC" w:rsidRDefault="00C809FC"/>
    <w:p w14:paraId="2992206F" w14:textId="65F31964" w:rsidR="003A4592" w:rsidRDefault="003A4592"/>
    <w:p w14:paraId="3A21EDB7" w14:textId="42A95DE5" w:rsidR="003A4592" w:rsidRDefault="003A4592"/>
    <w:p w14:paraId="768400EA" w14:textId="41241256" w:rsidR="003A4592" w:rsidRDefault="003A4592"/>
    <w:p w14:paraId="1FE03480" w14:textId="774AE25F" w:rsidR="003A4592" w:rsidRDefault="003A4592"/>
    <w:p w14:paraId="0EDB487B" w14:textId="0D7854CD" w:rsidR="003A4592" w:rsidRDefault="003A4592"/>
    <w:p w14:paraId="5C5A0633" w14:textId="04ACC88B" w:rsidR="003A4592" w:rsidRDefault="003A4592"/>
    <w:p w14:paraId="73963331" w14:textId="6436CF91" w:rsidR="003A4592" w:rsidRDefault="003A4592"/>
    <w:p w14:paraId="25C5D5C1" w14:textId="31A60C0E" w:rsidR="003A4592" w:rsidRDefault="003A4592"/>
    <w:p w14:paraId="4A293EBD" w14:textId="2B58C7B5" w:rsidR="003A4592" w:rsidRDefault="003A4592"/>
    <w:p w14:paraId="07F22594" w14:textId="6F98426E" w:rsidR="003A4592" w:rsidRDefault="003A4592"/>
    <w:p w14:paraId="3F39617C" w14:textId="7FC501F5" w:rsidR="003A4592" w:rsidRDefault="003A4592" w:rsidP="003A4592">
      <w:pPr>
        <w:jc w:val="center"/>
      </w:pPr>
      <w:r>
        <w:t>Communication Process</w:t>
      </w:r>
    </w:p>
    <w:p w14:paraId="43E8FEB4" w14:textId="6D5B93EC" w:rsidR="003A4592" w:rsidRDefault="003A4592" w:rsidP="003A4592">
      <w:pPr>
        <w:jc w:val="center"/>
      </w:pPr>
      <w:r>
        <w:t>Name</w:t>
      </w:r>
    </w:p>
    <w:p w14:paraId="6D46A517" w14:textId="0941B708" w:rsidR="003A4592" w:rsidRDefault="003A4592" w:rsidP="003A4592">
      <w:pPr>
        <w:jc w:val="center"/>
      </w:pPr>
      <w:r>
        <w:t>Institution</w:t>
      </w:r>
    </w:p>
    <w:p w14:paraId="39176DF8" w14:textId="52E2A88C" w:rsidR="003A4592" w:rsidRDefault="003A4592" w:rsidP="003A4592">
      <w:pPr>
        <w:jc w:val="center"/>
      </w:pPr>
    </w:p>
    <w:p w14:paraId="5C68DA73" w14:textId="3D915494" w:rsidR="003A4592" w:rsidRDefault="003A4592" w:rsidP="003A4592">
      <w:pPr>
        <w:jc w:val="center"/>
      </w:pPr>
    </w:p>
    <w:p w14:paraId="0B6693B3" w14:textId="793CFD03" w:rsidR="003A4592" w:rsidRDefault="003A4592" w:rsidP="003A4592">
      <w:pPr>
        <w:jc w:val="center"/>
      </w:pPr>
    </w:p>
    <w:p w14:paraId="33C344C4" w14:textId="6531E399" w:rsidR="003A4592" w:rsidRDefault="003A4592" w:rsidP="003A4592">
      <w:pPr>
        <w:jc w:val="center"/>
      </w:pPr>
    </w:p>
    <w:p w14:paraId="45F560F7" w14:textId="7195AB49" w:rsidR="003A4592" w:rsidRDefault="003A4592" w:rsidP="003A4592">
      <w:pPr>
        <w:jc w:val="center"/>
      </w:pPr>
    </w:p>
    <w:p w14:paraId="15D8FB45" w14:textId="402C4156" w:rsidR="003A4592" w:rsidRDefault="003A4592" w:rsidP="003A4592">
      <w:pPr>
        <w:jc w:val="center"/>
      </w:pPr>
    </w:p>
    <w:p w14:paraId="7CD34DB7" w14:textId="51595EA4" w:rsidR="003A4592" w:rsidRDefault="003A4592" w:rsidP="003A4592">
      <w:pPr>
        <w:jc w:val="center"/>
      </w:pPr>
    </w:p>
    <w:p w14:paraId="6C90887A" w14:textId="7FD0946C" w:rsidR="003A4592" w:rsidRDefault="003A4592" w:rsidP="003A4592">
      <w:pPr>
        <w:jc w:val="center"/>
      </w:pPr>
    </w:p>
    <w:p w14:paraId="7FDAE6D8" w14:textId="0BD6F72A" w:rsidR="003A4592" w:rsidRDefault="003A4592" w:rsidP="003A4592">
      <w:pPr>
        <w:jc w:val="center"/>
      </w:pPr>
    </w:p>
    <w:p w14:paraId="50D4C220" w14:textId="0D28247D" w:rsidR="003A4592" w:rsidRDefault="003A4592" w:rsidP="003A4592">
      <w:pPr>
        <w:jc w:val="center"/>
      </w:pPr>
    </w:p>
    <w:p w14:paraId="580C813D" w14:textId="72C6D2FB" w:rsidR="003A4592" w:rsidRPr="00DA738B" w:rsidRDefault="003A4592" w:rsidP="003A4592">
      <w:pPr>
        <w:jc w:val="center"/>
      </w:pPr>
    </w:p>
    <w:p w14:paraId="5098CE82" w14:textId="11373DA7" w:rsidR="003A4592" w:rsidRPr="00DA738B" w:rsidRDefault="003A4592" w:rsidP="003A4592">
      <w:pPr>
        <w:jc w:val="center"/>
      </w:pPr>
    </w:p>
    <w:p w14:paraId="0F44DCC7" w14:textId="5FD67F1B" w:rsidR="003A4592" w:rsidRPr="00DA738B" w:rsidRDefault="003A4592" w:rsidP="003A4592">
      <w:pPr>
        <w:jc w:val="center"/>
      </w:pPr>
    </w:p>
    <w:p w14:paraId="42D70D38" w14:textId="4F22F216" w:rsidR="003A4592" w:rsidRPr="00DA738B" w:rsidRDefault="003A4592" w:rsidP="003A4592">
      <w:pPr>
        <w:jc w:val="center"/>
      </w:pPr>
    </w:p>
    <w:p w14:paraId="1C198D90" w14:textId="3AC47A2F" w:rsidR="003A4592" w:rsidRPr="00DA738B" w:rsidRDefault="003A4592" w:rsidP="003A4592">
      <w:pPr>
        <w:jc w:val="center"/>
      </w:pPr>
      <w:r w:rsidRPr="00DA738B">
        <w:lastRenderedPageBreak/>
        <w:t>Communication Process</w:t>
      </w:r>
    </w:p>
    <w:p w14:paraId="2DDE70B8" w14:textId="1C0512CA" w:rsidR="003A4592" w:rsidRPr="00554CDA" w:rsidRDefault="003A4592" w:rsidP="003A4592">
      <w:pPr>
        <w:rPr>
          <w:b/>
          <w:bCs/>
        </w:rPr>
      </w:pPr>
      <w:r w:rsidRPr="00554CDA">
        <w:rPr>
          <w:b/>
          <w:bCs/>
        </w:rPr>
        <w:t>Part 1: Types and Barriers</w:t>
      </w:r>
    </w:p>
    <w:tbl>
      <w:tblPr>
        <w:tblStyle w:val="TableGrid"/>
        <w:tblW w:w="0" w:type="auto"/>
        <w:tblLook w:val="04A0" w:firstRow="1" w:lastRow="0" w:firstColumn="1" w:lastColumn="0" w:noHBand="0" w:noVBand="1"/>
      </w:tblPr>
      <w:tblGrid>
        <w:gridCol w:w="2685"/>
        <w:gridCol w:w="2970"/>
        <w:gridCol w:w="3695"/>
      </w:tblGrid>
      <w:tr w:rsidR="003A4592" w:rsidRPr="00DA738B" w14:paraId="43CECFBB" w14:textId="5B46DD1F" w:rsidTr="003A4592">
        <w:tc>
          <w:tcPr>
            <w:tcW w:w="2685" w:type="dxa"/>
            <w:shd w:val="clear" w:color="auto" w:fill="B4C6E7" w:themeFill="accent1" w:themeFillTint="66"/>
          </w:tcPr>
          <w:p w14:paraId="7AEF2797" w14:textId="0764CE72" w:rsidR="003A4592" w:rsidRPr="00DA738B" w:rsidRDefault="003A4592" w:rsidP="003A4592">
            <w:r w:rsidRPr="00DA738B">
              <w:t>Types of Communication</w:t>
            </w:r>
          </w:p>
        </w:tc>
        <w:tc>
          <w:tcPr>
            <w:tcW w:w="2970" w:type="dxa"/>
            <w:shd w:val="clear" w:color="auto" w:fill="B4C6E7" w:themeFill="accent1" w:themeFillTint="66"/>
          </w:tcPr>
          <w:p w14:paraId="0D29A029" w14:textId="3FBCDAB3" w:rsidR="003A4592" w:rsidRPr="00DA738B" w:rsidRDefault="003A4592" w:rsidP="003A4592">
            <w:pPr>
              <w:jc w:val="center"/>
            </w:pPr>
            <w:r w:rsidRPr="00DA738B">
              <w:t>Examples in Criminal Justice Setting</w:t>
            </w:r>
          </w:p>
        </w:tc>
        <w:tc>
          <w:tcPr>
            <w:tcW w:w="3695" w:type="dxa"/>
            <w:shd w:val="clear" w:color="auto" w:fill="B4C6E7" w:themeFill="accent1" w:themeFillTint="66"/>
          </w:tcPr>
          <w:p w14:paraId="489DDC7B" w14:textId="779B5BDF" w:rsidR="003A4592" w:rsidRPr="00DA738B" w:rsidRDefault="003A4592" w:rsidP="003A4592">
            <w:r w:rsidRPr="00DA738B">
              <w:t>Possible Barrier</w:t>
            </w:r>
          </w:p>
        </w:tc>
      </w:tr>
      <w:tr w:rsidR="003A4592" w:rsidRPr="00DA738B" w14:paraId="65851C4B" w14:textId="6CFACD84" w:rsidTr="003A4592">
        <w:tc>
          <w:tcPr>
            <w:tcW w:w="2685" w:type="dxa"/>
          </w:tcPr>
          <w:p w14:paraId="700406C8" w14:textId="76E1BF8C" w:rsidR="003A4592" w:rsidRPr="00DA738B" w:rsidRDefault="003A4592" w:rsidP="003A4592">
            <w:r w:rsidRPr="00DA738B">
              <w:t>Verbal</w:t>
            </w:r>
          </w:p>
        </w:tc>
        <w:tc>
          <w:tcPr>
            <w:tcW w:w="2970" w:type="dxa"/>
          </w:tcPr>
          <w:p w14:paraId="37D5FAB4" w14:textId="1359FF89" w:rsidR="003A4592" w:rsidRPr="00DA738B" w:rsidRDefault="003F6926" w:rsidP="003A4592">
            <w:r w:rsidRPr="00DA738B">
              <w:t>Interviewing a suspect with word of mouth</w:t>
            </w:r>
          </w:p>
        </w:tc>
        <w:tc>
          <w:tcPr>
            <w:tcW w:w="3695" w:type="dxa"/>
          </w:tcPr>
          <w:p w14:paraId="6CAB2D12" w14:textId="6B04A080" w:rsidR="003A4592" w:rsidRPr="00DA738B" w:rsidRDefault="003F6926" w:rsidP="003A4592">
            <w:r w:rsidRPr="00DA738B">
              <w:t xml:space="preserve">Speech </w:t>
            </w:r>
            <w:proofErr w:type="gramStart"/>
            <w:r w:rsidRPr="00DA738B">
              <w:t>difficulties</w:t>
            </w:r>
            <w:r w:rsidR="00DA738B">
              <w:t>(</w:t>
            </w:r>
            <w:proofErr w:type="spellStart"/>
            <w:proofErr w:type="gramEnd"/>
            <w:r w:rsidR="00DA738B">
              <w:t>Jureddi</w:t>
            </w:r>
            <w:proofErr w:type="spellEnd"/>
            <w:r w:rsidR="00DA738B">
              <w:t xml:space="preserve"> &amp;</w:t>
            </w:r>
            <w:proofErr w:type="spellStart"/>
            <w:r w:rsidR="00DA738B">
              <w:t>Brahmaiah</w:t>
            </w:r>
            <w:proofErr w:type="spellEnd"/>
            <w:r w:rsidR="00DA738B">
              <w:t>, 2019)</w:t>
            </w:r>
          </w:p>
        </w:tc>
      </w:tr>
      <w:tr w:rsidR="003A4592" w:rsidRPr="00DA738B" w14:paraId="6671E8C4" w14:textId="5A162D92" w:rsidTr="003A4592">
        <w:tc>
          <w:tcPr>
            <w:tcW w:w="2685" w:type="dxa"/>
          </w:tcPr>
          <w:p w14:paraId="3E9B49FB" w14:textId="2C98BFF0" w:rsidR="003A4592" w:rsidRPr="00DA738B" w:rsidRDefault="003A4592" w:rsidP="003A4592">
            <w:r w:rsidRPr="00DA738B">
              <w:t>Nonverbal</w:t>
            </w:r>
          </w:p>
        </w:tc>
        <w:tc>
          <w:tcPr>
            <w:tcW w:w="2970" w:type="dxa"/>
          </w:tcPr>
          <w:p w14:paraId="71DD418E" w14:textId="69604E1F" w:rsidR="003A4592" w:rsidRPr="00DA738B" w:rsidRDefault="003F6926" w:rsidP="003A4592">
            <w:r w:rsidRPr="00DA738B">
              <w:t>Avoiding eye contact during conversation</w:t>
            </w:r>
          </w:p>
        </w:tc>
        <w:tc>
          <w:tcPr>
            <w:tcW w:w="3695" w:type="dxa"/>
          </w:tcPr>
          <w:p w14:paraId="1FDF263D" w14:textId="7B15C7DD" w:rsidR="003A4592" w:rsidRPr="00DA738B" w:rsidRDefault="004F70B2" w:rsidP="003A4592">
            <w:r w:rsidRPr="00DA738B">
              <w:t>Cultural differences</w:t>
            </w:r>
          </w:p>
        </w:tc>
      </w:tr>
    </w:tbl>
    <w:p w14:paraId="09AE83E9" w14:textId="77777777" w:rsidR="003A4592" w:rsidRPr="00DA738B" w:rsidRDefault="003A4592" w:rsidP="003A4592"/>
    <w:p w14:paraId="5DA6A6C9" w14:textId="4FDCAC1E" w:rsidR="003A4592" w:rsidRPr="00DA738B" w:rsidRDefault="00FD00F4" w:rsidP="00FD00F4">
      <w:pPr>
        <w:tabs>
          <w:tab w:val="left" w:pos="6435"/>
        </w:tabs>
      </w:pPr>
      <w:r w:rsidRPr="00DA738B">
        <w:tab/>
      </w:r>
    </w:p>
    <w:p w14:paraId="0F747CF8" w14:textId="3BC936E7" w:rsidR="003F6926" w:rsidRPr="00554CDA" w:rsidRDefault="003F6926" w:rsidP="003F6926">
      <w:pPr>
        <w:rPr>
          <w:b/>
          <w:bCs/>
        </w:rPr>
      </w:pPr>
      <w:r w:rsidRPr="00554CDA">
        <w:rPr>
          <w:b/>
          <w:bCs/>
        </w:rPr>
        <w:t>Part 2: Overcoming Barriers</w:t>
      </w:r>
    </w:p>
    <w:p w14:paraId="314C080C" w14:textId="4CDD7CD1" w:rsidR="003F6926" w:rsidRPr="00DA738B" w:rsidRDefault="003F6926" w:rsidP="003F6926"/>
    <w:p w14:paraId="680A2A33" w14:textId="5CFCF8FF" w:rsidR="003F6926" w:rsidRPr="00DA738B" w:rsidRDefault="00FD00F4" w:rsidP="003F6926">
      <w:pPr>
        <w:pStyle w:val="ListParagraph"/>
        <w:numPr>
          <w:ilvl w:val="0"/>
          <w:numId w:val="1"/>
        </w:numPr>
      </w:pPr>
      <w:r w:rsidRPr="00DA738B">
        <w:t xml:space="preserve">The elements in the communication process during a verbal interview with a suspect include </w:t>
      </w:r>
      <w:r w:rsidR="00554CDA">
        <w:t xml:space="preserve">the </w:t>
      </w:r>
      <w:r w:rsidRPr="00DA738B">
        <w:t xml:space="preserve">sender, ideas, </w:t>
      </w:r>
      <w:r w:rsidR="003B6F6F" w:rsidRPr="00DA738B">
        <w:t xml:space="preserve">encoding, and the </w:t>
      </w:r>
      <w:r w:rsidRPr="00DA738B">
        <w:t xml:space="preserve">communication channel. The sender is the person </w:t>
      </w:r>
      <w:r w:rsidR="003B6F6F" w:rsidRPr="00DA738B">
        <w:t>conveying</w:t>
      </w:r>
      <w:r w:rsidRPr="00DA738B">
        <w:t xml:space="preserve"> the information to the </w:t>
      </w:r>
      <w:r w:rsidR="003B6F6F" w:rsidRPr="00DA738B">
        <w:t>receiver. In</w:t>
      </w:r>
      <w:r w:rsidRPr="00DA738B">
        <w:t xml:space="preserve"> this case, it could be a police officer interrogating </w:t>
      </w:r>
      <w:r w:rsidR="00554CDA">
        <w:t xml:space="preserve">a </w:t>
      </w:r>
      <w:r w:rsidRPr="00DA738B">
        <w:t xml:space="preserve">rape suspect. Ideas entail </w:t>
      </w:r>
      <w:r w:rsidR="003B6F6F" w:rsidRPr="00DA738B">
        <w:t>the key</w:t>
      </w:r>
      <w:r w:rsidRPr="00DA738B">
        <w:t xml:space="preserve"> matters tabled. Another element is the </w:t>
      </w:r>
      <w:r w:rsidR="003B6F6F" w:rsidRPr="00DA738B">
        <w:t>communication</w:t>
      </w:r>
      <w:r w:rsidRPr="00DA738B">
        <w:t xml:space="preserve"> channel used for instance via face</w:t>
      </w:r>
      <w:r w:rsidR="00554CDA">
        <w:t>-to-</w:t>
      </w:r>
      <w:r w:rsidRPr="00DA738B">
        <w:t>face or telephone. Encoding entails the conversion of the message while decoding entails the understanding level of the message by the receiver</w:t>
      </w:r>
      <w:r w:rsidR="00DA738B">
        <w:t xml:space="preserve"> (</w:t>
      </w:r>
      <w:proofErr w:type="spellStart"/>
      <w:r w:rsidR="00DA738B">
        <w:t>Nordquist</w:t>
      </w:r>
      <w:proofErr w:type="spellEnd"/>
      <w:r w:rsidR="00DA738B">
        <w:t>, 2018)</w:t>
      </w:r>
      <w:r w:rsidR="003B6F6F" w:rsidRPr="00DA738B">
        <w:t>. Under nonverbal communication, the elements include the sender, the receiver, encoding, decoding</w:t>
      </w:r>
      <w:r w:rsidR="00554CDA">
        <w:t>,</w:t>
      </w:r>
      <w:r w:rsidR="003B6F6F" w:rsidRPr="00DA738B">
        <w:t xml:space="preserve"> and feedback. The use of body language depends heavily on the ability of the receiver to understand the message and give the appropriate response.</w:t>
      </w:r>
    </w:p>
    <w:p w14:paraId="2B86CBD5" w14:textId="1E81F526" w:rsidR="00FD00F4" w:rsidRPr="00DA738B" w:rsidRDefault="003B6F6F" w:rsidP="003F6926">
      <w:pPr>
        <w:pStyle w:val="ListParagraph"/>
        <w:numPr>
          <w:ilvl w:val="0"/>
          <w:numId w:val="1"/>
        </w:numPr>
      </w:pPr>
      <w:r w:rsidRPr="00DA738B">
        <w:t xml:space="preserve">To overcome speech difficulties during an interview with a suspect, it is wise to help the suspect to settle down to have controlled breathing and avoid fear. The officer interrogating the suspect can use </w:t>
      </w:r>
      <w:r w:rsidR="004F70B2" w:rsidRPr="00DA738B">
        <w:t>low-pitched intonation and also ask questions at a slower pace. On the other hand, the barrier about cultural difference can be erased during non-verbal communication by learning about the cultural background of the receiver. This can help avoid judging wrongly the receiver’s body language.</w:t>
      </w:r>
    </w:p>
    <w:p w14:paraId="43DAD710" w14:textId="4BC6A3AD" w:rsidR="004F70B2" w:rsidRPr="00DA738B" w:rsidRDefault="004F70B2" w:rsidP="003F6926">
      <w:pPr>
        <w:pStyle w:val="ListParagraph"/>
        <w:numPr>
          <w:ilvl w:val="0"/>
          <w:numId w:val="1"/>
        </w:numPr>
      </w:pPr>
      <w:r w:rsidRPr="00DA738B">
        <w:t>Listening is very important in the communication process for it enables the receiver to understand the intended message. Better listening skills allow both the sender and the receiver to communicate effectively, understand more about the message</w:t>
      </w:r>
      <w:r w:rsidR="00554CDA">
        <w:t>,</w:t>
      </w:r>
      <w:r w:rsidRPr="00DA738B">
        <w:t xml:space="preserve"> and giving the appropriate feedback.</w:t>
      </w:r>
      <w:r w:rsidR="00DA738B" w:rsidRPr="00DA738B">
        <w:t xml:space="preserve"> During communication, poor listening skills leads to the misunderstanding of the message and communication breakdown. This can be very irritating and frustrating</w:t>
      </w:r>
      <w:r w:rsidR="00DA738B">
        <w:t xml:space="preserve"> (Ali, 2018)</w:t>
      </w:r>
      <w:r w:rsidR="00DA738B" w:rsidRPr="00DA738B">
        <w:t>. Better listening skills avoid such frustrations and the giving of wrong verdicts.</w:t>
      </w:r>
    </w:p>
    <w:p w14:paraId="2FD7FB57" w14:textId="77777777" w:rsidR="00DA738B" w:rsidRPr="00DA738B" w:rsidRDefault="00DA738B" w:rsidP="00DA738B">
      <w:pPr>
        <w:pStyle w:val="ListParagraph"/>
      </w:pPr>
    </w:p>
    <w:p w14:paraId="7127717F" w14:textId="77777777" w:rsidR="00DA738B" w:rsidRDefault="00DA738B" w:rsidP="00DA738B">
      <w:pPr>
        <w:jc w:val="center"/>
      </w:pPr>
    </w:p>
    <w:p w14:paraId="7C45FCDE" w14:textId="77777777" w:rsidR="00DA738B" w:rsidRDefault="00DA738B" w:rsidP="00DA738B">
      <w:pPr>
        <w:jc w:val="center"/>
      </w:pPr>
    </w:p>
    <w:p w14:paraId="18C5C788" w14:textId="77777777" w:rsidR="00DA738B" w:rsidRDefault="00DA738B" w:rsidP="00DA738B">
      <w:pPr>
        <w:jc w:val="center"/>
      </w:pPr>
    </w:p>
    <w:p w14:paraId="3532153D" w14:textId="2402C17E" w:rsidR="00DA738B" w:rsidRDefault="00DA738B" w:rsidP="00DA738B">
      <w:pPr>
        <w:jc w:val="center"/>
      </w:pPr>
      <w:r w:rsidRPr="00DA738B">
        <w:lastRenderedPageBreak/>
        <w:t>References</w:t>
      </w:r>
    </w:p>
    <w:p w14:paraId="297E9F6F" w14:textId="77777777" w:rsidR="00DA738B" w:rsidRPr="00DA738B" w:rsidRDefault="00DA738B" w:rsidP="00DA738B">
      <w:pPr>
        <w:spacing w:line="480" w:lineRule="auto"/>
        <w:ind w:left="720" w:hanging="720"/>
        <w:jc w:val="both"/>
      </w:pPr>
      <w:r w:rsidRPr="00DA738B">
        <w:rPr>
          <w:color w:val="222222"/>
          <w:shd w:val="clear" w:color="auto" w:fill="FFFFFF"/>
        </w:rPr>
        <w:t>Ali, M. (2018). Communication 5: Effective listening and observation skills. </w:t>
      </w:r>
      <w:r w:rsidRPr="00DA738B">
        <w:rPr>
          <w:i/>
          <w:iCs/>
          <w:color w:val="222222"/>
          <w:shd w:val="clear" w:color="auto" w:fill="FFFFFF"/>
        </w:rPr>
        <w:t>Nursing Times</w:t>
      </w:r>
      <w:r w:rsidRPr="00DA738B">
        <w:rPr>
          <w:color w:val="222222"/>
          <w:shd w:val="clear" w:color="auto" w:fill="FFFFFF"/>
        </w:rPr>
        <w:t>, </w:t>
      </w:r>
      <w:r w:rsidRPr="00DA738B">
        <w:rPr>
          <w:i/>
          <w:iCs/>
          <w:color w:val="222222"/>
          <w:shd w:val="clear" w:color="auto" w:fill="FFFFFF"/>
        </w:rPr>
        <w:t>114</w:t>
      </w:r>
      <w:r w:rsidRPr="00DA738B">
        <w:rPr>
          <w:color w:val="222222"/>
          <w:shd w:val="clear" w:color="auto" w:fill="FFFFFF"/>
        </w:rPr>
        <w:t>(4).</w:t>
      </w:r>
    </w:p>
    <w:p w14:paraId="79B725FC" w14:textId="77777777" w:rsidR="00DA738B" w:rsidRPr="00DA738B" w:rsidRDefault="00DA738B" w:rsidP="00DA738B">
      <w:pPr>
        <w:spacing w:line="480" w:lineRule="auto"/>
        <w:ind w:left="720" w:hanging="720"/>
        <w:jc w:val="both"/>
        <w:rPr>
          <w:color w:val="222222"/>
          <w:shd w:val="clear" w:color="auto" w:fill="FFFFFF"/>
        </w:rPr>
      </w:pPr>
      <w:proofErr w:type="spellStart"/>
      <w:r w:rsidRPr="00DA738B">
        <w:rPr>
          <w:color w:val="222222"/>
          <w:shd w:val="clear" w:color="auto" w:fill="FFFFFF"/>
        </w:rPr>
        <w:t>Jureddi</w:t>
      </w:r>
      <w:proofErr w:type="spellEnd"/>
      <w:r w:rsidRPr="00DA738B">
        <w:rPr>
          <w:color w:val="222222"/>
          <w:shd w:val="clear" w:color="auto" w:fill="FFFFFF"/>
        </w:rPr>
        <w:t xml:space="preserve">, D. N., &amp; </w:t>
      </w:r>
      <w:proofErr w:type="spellStart"/>
      <w:r w:rsidRPr="00DA738B">
        <w:rPr>
          <w:color w:val="222222"/>
          <w:shd w:val="clear" w:color="auto" w:fill="FFFFFF"/>
        </w:rPr>
        <w:t>Brahmaiah</w:t>
      </w:r>
      <w:proofErr w:type="spellEnd"/>
      <w:r w:rsidRPr="00DA738B">
        <w:rPr>
          <w:color w:val="222222"/>
          <w:shd w:val="clear" w:color="auto" w:fill="FFFFFF"/>
        </w:rPr>
        <w:t>, N. (2016). Barriers to effective communication. </w:t>
      </w:r>
      <w:r w:rsidRPr="00DA738B">
        <w:rPr>
          <w:i/>
          <w:iCs/>
          <w:color w:val="222222"/>
          <w:shd w:val="clear" w:color="auto" w:fill="FFFFFF"/>
        </w:rPr>
        <w:t>Journal of English Language and Literature</w:t>
      </w:r>
      <w:r w:rsidRPr="00DA738B">
        <w:rPr>
          <w:color w:val="222222"/>
          <w:shd w:val="clear" w:color="auto" w:fill="FFFFFF"/>
        </w:rPr>
        <w:t>, </w:t>
      </w:r>
      <w:r w:rsidRPr="00DA738B">
        <w:rPr>
          <w:i/>
          <w:iCs/>
          <w:color w:val="222222"/>
          <w:shd w:val="clear" w:color="auto" w:fill="FFFFFF"/>
        </w:rPr>
        <w:t>3</w:t>
      </w:r>
      <w:r w:rsidRPr="00DA738B">
        <w:rPr>
          <w:color w:val="222222"/>
          <w:shd w:val="clear" w:color="auto" w:fill="FFFFFF"/>
        </w:rPr>
        <w:t>(2), 114-115.</w:t>
      </w:r>
    </w:p>
    <w:p w14:paraId="02392B63" w14:textId="6FE93330" w:rsidR="00DA738B" w:rsidRPr="00DA738B" w:rsidRDefault="00DA738B" w:rsidP="00DA738B">
      <w:pPr>
        <w:spacing w:line="480" w:lineRule="auto"/>
        <w:ind w:left="720" w:hanging="720"/>
        <w:jc w:val="both"/>
      </w:pPr>
      <w:proofErr w:type="spellStart"/>
      <w:r w:rsidRPr="00DA738B">
        <w:rPr>
          <w:color w:val="222222"/>
          <w:shd w:val="clear" w:color="auto" w:fill="FFFFFF"/>
        </w:rPr>
        <w:t>Nordquist</w:t>
      </w:r>
      <w:proofErr w:type="spellEnd"/>
      <w:r w:rsidRPr="00DA738B">
        <w:rPr>
          <w:color w:val="222222"/>
          <w:shd w:val="clear" w:color="auto" w:fill="FFFFFF"/>
        </w:rPr>
        <w:t xml:space="preserve">, R. (2018). The basic elements of </w:t>
      </w:r>
      <w:r w:rsidR="00554CDA">
        <w:rPr>
          <w:color w:val="222222"/>
          <w:shd w:val="clear" w:color="auto" w:fill="FFFFFF"/>
        </w:rPr>
        <w:t xml:space="preserve">the </w:t>
      </w:r>
      <w:r w:rsidRPr="00DA738B">
        <w:rPr>
          <w:color w:val="222222"/>
          <w:shd w:val="clear" w:color="auto" w:fill="FFFFFF"/>
        </w:rPr>
        <w:t>communication process. </w:t>
      </w:r>
      <w:r w:rsidRPr="00DA738B">
        <w:rPr>
          <w:i/>
          <w:iCs/>
          <w:color w:val="222222"/>
          <w:shd w:val="clear" w:color="auto" w:fill="FFFFFF"/>
        </w:rPr>
        <w:t>New York: ThoughtCo</w:t>
      </w:r>
      <w:r w:rsidRPr="00DA738B">
        <w:rPr>
          <w:color w:val="222222"/>
          <w:shd w:val="clear" w:color="auto" w:fill="FFFFFF"/>
        </w:rPr>
        <w:t>.</w:t>
      </w:r>
    </w:p>
    <w:sectPr w:rsidR="00DA738B" w:rsidRPr="00DA73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45D98" w14:textId="77777777" w:rsidR="00471115" w:rsidRDefault="00471115" w:rsidP="003A4592">
      <w:pPr>
        <w:spacing w:after="0" w:line="240" w:lineRule="auto"/>
      </w:pPr>
      <w:r>
        <w:separator/>
      </w:r>
    </w:p>
  </w:endnote>
  <w:endnote w:type="continuationSeparator" w:id="0">
    <w:p w14:paraId="6F469937" w14:textId="77777777" w:rsidR="00471115" w:rsidRDefault="00471115" w:rsidP="003A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60052" w14:textId="77777777" w:rsidR="00471115" w:rsidRDefault="00471115" w:rsidP="003A4592">
      <w:pPr>
        <w:spacing w:after="0" w:line="240" w:lineRule="auto"/>
      </w:pPr>
      <w:r>
        <w:separator/>
      </w:r>
    </w:p>
  </w:footnote>
  <w:footnote w:type="continuationSeparator" w:id="0">
    <w:p w14:paraId="58946D3A" w14:textId="77777777" w:rsidR="00471115" w:rsidRDefault="00471115" w:rsidP="003A4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0615961"/>
      <w:docPartObj>
        <w:docPartGallery w:val="Page Numbers (Top of Page)"/>
        <w:docPartUnique/>
      </w:docPartObj>
    </w:sdtPr>
    <w:sdtEndPr>
      <w:rPr>
        <w:noProof/>
      </w:rPr>
    </w:sdtEndPr>
    <w:sdtContent>
      <w:p w14:paraId="73ECBB56" w14:textId="2C13BF21" w:rsidR="003A4592" w:rsidRDefault="003A4592" w:rsidP="003A4592">
        <w:pPr>
          <w:pStyle w:val="Header"/>
        </w:pPr>
        <w:r>
          <w:t>COMMUNICATION PROCESS</w:t>
        </w:r>
        <w:r>
          <w:tab/>
        </w:r>
        <w:r>
          <w:tab/>
          <w:t xml:space="preserve"> </w:t>
        </w:r>
        <w:r>
          <w:fldChar w:fldCharType="begin"/>
        </w:r>
        <w:r>
          <w:instrText xml:space="preserve"> PAGE   \* MERGEFORMAT </w:instrText>
        </w:r>
        <w:r>
          <w:fldChar w:fldCharType="separate"/>
        </w:r>
        <w:r>
          <w:rPr>
            <w:noProof/>
          </w:rPr>
          <w:t>2</w:t>
        </w:r>
        <w:r>
          <w:rPr>
            <w:noProof/>
          </w:rPr>
          <w:fldChar w:fldCharType="end"/>
        </w:r>
      </w:p>
    </w:sdtContent>
  </w:sdt>
  <w:p w14:paraId="560B358B" w14:textId="77777777" w:rsidR="003A4592" w:rsidRDefault="003A4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E660F9"/>
    <w:multiLevelType w:val="hybridMultilevel"/>
    <w:tmpl w:val="BA76E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zNDYxNjEyNbIwNTJX0lEKTi0uzszPAykwrAUAA1MRWiwAAAA="/>
  </w:docVars>
  <w:rsids>
    <w:rsidRoot w:val="003A4592"/>
    <w:rsid w:val="003A4592"/>
    <w:rsid w:val="003B6F6F"/>
    <w:rsid w:val="003F6926"/>
    <w:rsid w:val="00471115"/>
    <w:rsid w:val="004F70B2"/>
    <w:rsid w:val="00554CDA"/>
    <w:rsid w:val="00C809FC"/>
    <w:rsid w:val="00DA738B"/>
    <w:rsid w:val="00FD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2E74"/>
  <w15:chartTrackingRefBased/>
  <w15:docId w15:val="{852090D8-77FD-4900-A530-6CA1F2E1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592"/>
  </w:style>
  <w:style w:type="paragraph" w:styleId="Footer">
    <w:name w:val="footer"/>
    <w:basedOn w:val="Normal"/>
    <w:link w:val="FooterChar"/>
    <w:uiPriority w:val="99"/>
    <w:unhideWhenUsed/>
    <w:rsid w:val="003A4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592"/>
  </w:style>
  <w:style w:type="table" w:styleId="TableGrid">
    <w:name w:val="Table Grid"/>
    <w:basedOn w:val="TableNormal"/>
    <w:uiPriority w:val="39"/>
    <w:rsid w:val="003A4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2021-02-25T02:23:00Z</dcterms:created>
  <dcterms:modified xsi:type="dcterms:W3CDTF">2021-02-25T03:34:00Z</dcterms:modified>
</cp:coreProperties>
</file>